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LOGIC KURPISHEV 2</w:t>
      </w:r>
    </w:p>
    <w:p>
      <w:pPr>
        <w:pStyle w:val="Subtitle"/>
      </w:pPr>
      <w:r>
        <w:t>Popular science digest for 2–9 October 2026</w:t>
      </w:r>
    </w:p>
    <w:p>
      <w:pPr>
        <w:spacing w:after="240"/>
      </w:pPr>
      <w:r>
        <w:rPr>
          <w:sz w:val="18"/>
        </w:rPr>
        <w:t>For author review • revision v1.1 dated 12 October 2026</w:t>
      </w:r>
    </w:p>
    <w:p>
      <w:pPr>
        <w:pStyle w:val="Heading1"/>
      </w:pPr>
      <w:r>
        <w:t>Preserving meaning when processing large datasets</w:t>
      </w:r>
    </w:p>
    <w:p>
      <w:pPr/>
      <w:r>
        <w:t>Can complex knowledge be compared through compact numbers while retaining the grounds of inference? This question connects the week’s results in Ivan Borisovich Kurpishev’s project. Work on KASVD, relations of different types, the Atlas and database restoration clarifies which information software must preserve before its conclusions can be checked and used for prediction.</w:t>
      </w:r>
    </w:p>
    <w:p>
      <w:pPr/>
      <w:r>
        <w:t>The project aims to develop a predictive reper projective-harmonic method for studying events and states. KLT is associated with the author’s concept of λ-truth; KLT-RBD organizes repers, relations and the grounds of claims. For an introductory explanation, a reper can be pictured as a reference record that helps a researcher navigate material. A graph represents relations between such records. This explanation does not replace the formal definitions of the author’s mathematics.</w:t>
      </w:r>
    </w:p>
    <w:p>
      <w:pPr/>
      <w:r>
        <w:t>A proposed distinctive feature of the research programme is to connect mathematical data representations with provenance, relation types and conditions for admissible inference. A compact description should remain checkable against its full supporting grounds. This is a direction of development of the author’s method; this issue establishes neither priority against the entire scientific literature nor independently validated predictive performance.</w:t>
      </w:r>
    </w:p>
    <w:p>
      <w:pPr>
        <w:pStyle w:val="Heading1"/>
      </w:pPr>
      <w:r>
        <w:t>KASVD and the limits of a spectral passport</w:t>
      </w:r>
    </w:p>
    <w:p>
      <w:pPr/>
      <w:r>
        <w:t>The R4-L report, checked on 4 October, examines a preserved Kant graph with 55 nodes, 59 relations and ten independent cycle coordinates. The source snapshot itself dates from 4 September. The week’s result is therefore an analysis of an existing structure, rather than the creation of a new observational corpus. [1, §§3–8]</w:t>
      </w:r>
    </w:p>
    <w:p>
      <w:pPr/>
      <w:r>
        <w:t>A spectral passport is a compact numerical feature of a selected matrix representation. It helps compare records, but does not automatically retain their quotations, meaning or proof history. A useful analogy is a library catalogue: an index helps locate a book but cannot replace its text. This illustrates the storage problem and is not a mathematical proof.</w:t>
      </w:r>
    </w:p>
    <w:p>
      <w:pPr/>
      <w:r>
        <w:t>The report identifies information loss when ten independent coordinates are linearly encoded in one 3×3 matrix. The dimensional explanation requires a common scalar field: the matrix space has dimension nine, so a linear map from a ten-dimensional space into it cannot be injective. This argument applies to the stated linear formulation; it does not rule out every possible encoding. The full graph and its supporting grounds should therefore be retained alongside the passport. [1]</w:t>
      </w:r>
    </w:p>
    <w:p>
      <w:r>
        <w:br w:type="page"/>
      </w:r>
    </w:p>
    <w:p>
      <w:pPr>
        <w:pStyle w:val="Heading1"/>
      </w:pPr>
      <w:r>
        <w:t>Why relations with the same endpoints still differ</w:t>
      </w:r>
    </w:p>
    <w:p>
      <w:pPr/>
      <w:r>
        <w:t>The R4M contract of 5 October considers two relations with the same endpoints. Shared starting and ending records do not make the relations identical: they may convey different claim types, different modalities or rely on different text passages. R4M permits partial comparison while retaining these distinctions. A numerical difference between the relations remains undefined. [2, §§3–7]</w:t>
      </w:r>
    </w:p>
    <w:p>
      <w:pPr/>
      <w:r>
        <w:t>An illustrative example is “possibly related” versus “established as related”: both concern the same objects, but carry different evidential force. Substituting one for the other would change the inference. The example explains modality; it does not report a new project observation.</w:t>
      </w:r>
    </w:p>
    <w:p>
      <w:pPr/>
      <w:r>
        <w:t>The week’s substantive correction concerns the intergenerational aspect in Kant’s source text. Its locator was refined to AA VII:324:07–11 instead of attribution to AA VII:329:01–27. The historical record was preserved and the correction added as a separate layer. This retains both the earlier claim and the grounds for correcting it. [2]</w:t>
      </w:r>
    </w:p>
    <w:p>
      <w:pPr/>
      <w:r>
        <w:t>The report records 48 passing contract tests. This is evidence of software checks for the specified scenarios. None of the eleven blocker groups was closed: testing rules does not itself supply missing substantive grounds. The proposed R4M.1 stage is a review of partial-transport rules, followed by measurement maps when sufficient grounds are available. [2, §§6–7]</w:t>
      </w:r>
    </w:p>
    <w:p>
      <w:pPr>
        <w:pStyle w:val="Heading1"/>
      </w:pPr>
      <w:r>
        <w:t>The Atlas exposes limits of the selected encoding</w:t>
      </w:r>
    </w:p>
    <w:p>
      <w:pPr/>
      <w:r>
        <w:t>The Atlas of 4 October compares 36 previously registered artifacts. Its selected static encoder produces seven matrices and two spectra. Multiple records thus share numerical representations, while their supporting grounds and proof stages may remain different. [3, §§2–6]</w:t>
      </w:r>
    </w:p>
    <w:p>
      <w:pPr/>
      <w:r>
        <w:t>This is useful for database design: equal matrices or spectra do not authorize automatic merging. A merge could discard distinctions that determine whether an inference is admissible. Spectral features should be used together with the full description and provenance of the records.</w:t>
      </w:r>
    </w:p>
    <w:p>
      <w:pPr/>
      <w:r>
        <w:t>The numbers 36, seven and two describe an analysis of an older register under a particular encoding. They do not mean 36 new discoveries, 36 independent observations or a universal classification of data. The week’s contribution clarifies representation limits and requirements for preserving supporting grounds.</w:t>
      </w:r>
    </w:p>
    <w:p>
      <w:r>
        <w:br w:type="page"/>
      </w:r>
    </w:p>
    <w:p>
      <w:pPr>
        <w:pStyle w:val="Heading1"/>
      </w:pPr>
      <w:r>
        <w:t>Database restoration and standalone software readiness</w:t>
      </w:r>
    </w:p>
    <w:p>
      <w:pPr/>
      <w:r>
        <w:t>The IMPORT-01 checkpoint of 5 October records a shared backup validation and restoration core. Separate adapters serve web and standalone databases. The practical purpose is to align restoration rules while respecting differences between storage systems. The additive package preserves earlier programs and scientific texts. [4]</w:t>
      </w:r>
    </w:p>
    <w:p>
      <w:pPr/>
      <w:r>
        <w:t>The report lists 26 passing new tests in an emulator. Integration into deployed applications and storage durability on real devices remain open. Users need to recover their own records after an update or a failure; that capability still requires verification in real operation.</w:t>
      </w:r>
    </w:p>
    <w:p>
      <w:pPr/>
      <w:r>
        <w:t>The audit of 8 October clarifies the build search: archived Android 1.05.5 and three Windows 1.05.05 files were found. The APK uses the original signing certificate; the Windows files lack embedded publisher signatures. This audits September builds dated 29 September and does not announce a new release. [5, §§1–2, 6]</w:t>
      </w:r>
    </w:p>
    <w:p>
      <w:pPr/>
      <w:r>
        <w:t>No accepted consumer package has yet been issued. Installation, updates and rollback with database preservation remain untested; Modern Update is not a complete installer. Finding the files resolves the question of their complete absence, but does not complete acceptance of the standalone programs. [5]</w:t>
      </w:r>
    </w:p>
    <w:p>
      <w:pPr>
        <w:pStyle w:val="Heading1"/>
      </w:pPr>
      <w:r>
        <w:t>Reading the levels of confirmation</w:t>
      </w:r>
    </w:p>
    <w:p>
      <w:pPr/>
      <w:r>
        <w:t>Mathematical level: the dimensional argument limits the stated linear encoding; the Atlas analysis identifies collisions in a particular encoder. These conclusions have their own conditions and applicability domains.</w:t>
      </w:r>
    </w:p>
    <w:p>
      <w:pPr/>
      <w:r>
        <w:t>Software level: the 48 R4M tests and 26 IMPORT-01 tests are reported from source documents. They were not rerun while preparing this digest. Adding these counts does not produce a measure of scientific validity or readiness of a consumer release.</w:t>
      </w:r>
    </w:p>
    <w:p>
      <w:pPr/>
      <w:r>
        <w:t>Scientific assessment of prediction: SCIENCE=ABSTAIN, EXT_RUN=NOT_RUN and truth_layer_promotion=0 remain unchanged. ABSTAIN means insufficient grounds for a confirming conclusion. Independently validated predictive performance has not been established. D/Dom require sufficient grounds and an applicability domain; CGI cannot compensate for their absence. [2, §6; 4–7]</w:t>
      </w:r>
    </w:p>
    <w:p>
      <w:pPr/>
      <w:r>
        <w:t>Future evaluation requires a matched null control, preregistered blind prediction and independent verification. The null control compares the result with what can be achieved without the mechanism under examination, under comparable conditions. Blind prediction separates prediction from adjustment after the answer is known. [6–7]</w:t>
      </w:r>
    </w:p>
    <w:p>
      <w:r>
        <w:br w:type="page"/>
      </w:r>
    </w:p>
    <w:p>
      <w:pPr>
        <w:pStyle w:val="Heading1"/>
      </w:pPr>
      <w:r>
        <w:t>Next questions and materials for review</w:t>
      </w:r>
    </w:p>
    <w:p>
      <w:pPr/>
      <w:r>
        <w:t>The next mathematical step is a substantive R4M.1 review. KASVD requires an explicit complex, metric, typing, encoder and admissible transformation group. Without these specifications, conclusions cannot automatically be transferred between representations. Deployment across all Analyzer, ARBD and KLT-MATDES applications is unconfirmed. [1–2, 4]</w:t>
      </w:r>
    </w:p>
    <w:p>
      <w:pPr/>
      <w:r>
        <w:t>The next software step is to check restoration integration, storage on devices and consumer installation, update and rollback scenarios. The scientific step is to prepare independent verification while retaining current constraints. Owners of the next checks are unspecified and deadlines are not established. These are open tasks, not announced commitments.</w:t>
      </w:r>
    </w:p>
    <w:p>
      <w:pPr/>
      <w:r>
        <w:t>The week’s results make future inference more traceable: compact features accompany a full graph, relations of different types retain their meaning, corrections leave a separate record, and data restoration has a testable software workflow. These advances strengthen the research programme’s foundations; validating predictions remains a separate task.</w:t>
      </w:r>
    </w:p>
    <w:p>
      <w:pPr>
        <w:pStyle w:val="Heading1"/>
      </w:pPr>
      <w:r>
        <w:t>Sources and verification scope</w:t>
      </w:r>
    </w:p>
    <w:p>
      <w:pPr/>
      <w:r>
        <w:t>This revision is based on the three v1.0 digest PDFs dated 9 October. Their factual cut-off is 9 October 2026, 09:33 Europe/Kaliningrad. Information [1–7] is relayed from those PDFs; the primary reports and master discussions were not rechecked. Public availability of working materials is unconfirmed. No new approval of the canon or lifting of a freeze has been established.</w:t>
      </w:r>
    </w:p>
    <w:p>
      <w:pPr>
        <w:spacing w:after="60"/>
      </w:pPr>
      <w:r>
        <w:rPr>
          <w:sz w:val="18"/>
        </w:rPr>
        <w:t>[1] Kurpishev I. B. R4-L. Source-bound Admission of the Full Reper Graph Signature. v1.0, checked 4 October 2026, §§3–11.</w:t>
      </w:r>
    </w:p>
    <w:p>
      <w:pPr>
        <w:spacing w:after="60"/>
      </w:pPr>
      <w:r>
        <w:rPr>
          <w:sz w:val="18"/>
        </w:rPr>
        <w:t>[2] Kurpishev I. B. R4-M. Contract for Relations of Different Types. v1.0, 5 October 2026, §§1–7, pp. 1–7.</w:t>
      </w:r>
    </w:p>
    <w:p>
      <w:pPr>
        <w:spacing w:after="60"/>
      </w:pPr>
      <w:r>
        <w:rPr>
          <w:sz w:val="18"/>
        </w:rPr>
        <w:t>[3] Kurpishev I. B. Atlas of Kurpishev Artifacts. Register 1–36, Reper Graphs and KASVD Spectral Geometry. v1.0, 4 October 2026, §§2–7.</w:t>
      </w:r>
    </w:p>
    <w:p>
      <w:pPr>
        <w:spacing w:after="60"/>
      </w:pPr>
      <w:r>
        <w:rPr>
          <w:sz w:val="18"/>
        </w:rPr>
        <w:t>[4] IMPORT-01. Shared Restoration Core. v0.1, 5 October 2026. “Result”, “Tests”, “Next checkpoint”. Project and method author: I. B. Kurpishev.</w:t>
      </w:r>
    </w:p>
    <w:p>
      <w:pPr>
        <w:spacing w:after="60"/>
      </w:pPr>
      <w:r>
        <w:rPr>
          <w:sz w:val="18"/>
        </w:rPr>
        <w:t>[5] KLT6. Release Audit. 8 October 2026, v1.0, §§1–2, 4–7. Audit of builds dated 29 September 2026.</w:t>
      </w:r>
    </w:p>
    <w:p>
      <w:pPr>
        <w:spacing w:after="60"/>
      </w:pPr>
      <w:r>
        <w:rPr>
          <w:sz w:val="18"/>
        </w:rPr>
        <w:t>[6] Kurpishev I. B. Unified Mathematical Program Analysis Kernel. R4-C, v1.0, 1 October 2026, §§2–3, 8, 11.</w:t>
      </w:r>
    </w:p>
    <w:p>
      <w:pPr>
        <w:spacing w:after="60"/>
      </w:pPr>
      <w:r>
        <w:rPr>
          <w:sz w:val="18"/>
        </w:rPr>
        <w:t>[7] Continuation after RUN042. 27 September 2026. Paragraphs on unchanged statuses, the mathematical queue and admissible null controls.</w:t>
      </w:r>
    </w:p>
    <w:p>
      <w:pPr>
        <w:pStyle w:val="Heading1"/>
      </w:pPr>
      <w:r>
        <w:t>Original PDFs for review</w:t>
      </w:r>
    </w:p>
    <w:p>
      <w:pPr>
        <w:spacing w:after="40"/>
      </w:pPr>
      <w:hyperlink r:id="rId9">
        <w:r>
          <w:rPr>
            <w:color w:val="245A81"/>
          </w:rPr>
          <w:t>RU  https://drive.google.com/file/d/1Du9YmDMftoM7Ag5vxadbHMZghLzKn_co/view</w:t>
        </w:r>
      </w:hyperlink>
    </w:p>
    <w:p>
      <w:pPr>
        <w:spacing w:after="40"/>
      </w:pPr>
      <w:hyperlink r:id="rId10">
        <w:r>
          <w:rPr>
            <w:color w:val="245A81"/>
          </w:rPr>
          <w:t>EN  https://drive.google.com/file/d/1jPrmBzDuuLoUTfJ_oMrOiwf1cAUn3s59/view</w:t>
        </w:r>
      </w:hyperlink>
    </w:p>
    <w:p>
      <w:pPr>
        <w:spacing w:after="40"/>
      </w:pPr>
      <w:hyperlink r:id="rId11">
        <w:r>
          <w:rPr>
            <w:color w:val="245A81"/>
          </w:rPr>
          <w:t>ZH  https://drive.google.com/file/d/1Ly9M2JJqC4hlv0ZYp79w0urezaHyZd-Q/view</w:t>
        </w:r>
      </w:hyperlink>
    </w:p>
    <w:sectPr w:rsidR="00FC693F" w:rsidRPr="0006063C" w:rsidSect="00034616">
      <w:footerReference w:type="default" r:id="rId12"/>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06060"/>
        <w:sz w:val="16"/>
      </w:rPr>
      <w:t xml:space="preserve">LK2 • 2026-10-09 • v1.1 • EN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DejaVu Sans" w:hAnsi="DejaVu Sans" w:eastAsia="Noto Sans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0"/>
      <w:outlineLvl w:val="0"/>
    </w:pPr>
    <w:rPr>
      <w:rFonts w:asciiTheme="majorHAnsi" w:eastAsiaTheme="majorEastAsia" w:hAnsiTheme="majorHAnsi" w:cstheme="majorBidi" w:ascii="DejaVu Sans" w:hAnsi="DejaVu Sans" w:eastAsia="Noto Sans CJK SC"/>
      <w:b/>
      <w:bCs/>
      <w:color w:val="245A8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eastAsia="Noto Sans CJK SC"/>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Noto Sans CJK SC"/>
      <w:i/>
      <w:iCs/>
      <w:color w:val="245A8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ive.google.com/file/d/1Du9YmDMftoM7Ag5vxadbHMZghLzKn_co/view" TargetMode="External"/><Relationship Id="rId10" Type="http://schemas.openxmlformats.org/officeDocument/2006/relationships/hyperlink" Target="https://drive.google.com/file/d/1jPrmBzDuuLoUTfJ_oMrOiwf1cAUn3s59/view" TargetMode="External"/><Relationship Id="rId11" Type="http://schemas.openxmlformats.org/officeDocument/2006/relationships/hyperlink" Target="https://drive.google.com/file/d/1Ly9M2JJqC4hlv0ZYp79w0urezaHyZd-Q/view"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LOGIC KURPISHEV 2 Popular science digest for 2–9 October 2026</dc:title>
  <dc:subject>LK2 digest 2026-10-09 v1.1 — author review</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