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ЛОГИКА КУРПИШЕВА 2</w:t>
      </w:r>
    </w:p>
    <w:p>
      <w:pPr>
        <w:pStyle w:val="Subtitle"/>
      </w:pPr>
      <w:r>
        <w:t>Научно популярный дайджест за 2–9 октября 2026 года</w:t>
      </w:r>
    </w:p>
    <w:p>
      <w:pPr>
        <w:spacing w:after="240"/>
      </w:pPr>
      <w:r>
        <w:rPr>
          <w:sz w:val="18"/>
        </w:rPr>
        <w:t>Для авторской проверки • редакция v1.1 от 12 октября 2026</w:t>
      </w:r>
    </w:p>
    <w:p>
      <w:pPr>
        <w:pStyle w:val="Heading1"/>
      </w:pPr>
      <w:r>
        <w:t>Как сохранить смысл при обработке больших данных</w:t>
      </w:r>
    </w:p>
    <w:p>
      <w:pPr/>
      <w:r>
        <w:t>Можно ли сравнивать сложные знания так, чтобы вместе с компактными числами сохранялись основания вывода? Именно этот вопрос объединяет результаты недели в проекте Ивана Борисовича Курпишева. Работа над KASVD, сопоставлением разнотипных связей, Атласом и восстановлением баз уточняет, какую информацию программа должна удерживать, прежде чем её вывод можно будет проверять и использовать для прогнозирования.</w:t>
      </w:r>
    </w:p>
    <w:p>
      <w:pPr/>
      <w:r>
        <w:t>Цель проекта — предсказательный реперный проективно-гармонический метод исследования событий и состояний. KLT связано с авторской концепцией λ-истинности, а KLT-RBD организует реперы, отношения и основания утверждений. Для первого знакомства репер можно представить как опорную запись, по которой исследователь ориентируется в материале. Граф показывает связи между такими записями. Это пояснение для читателя, а не замена формальных определений авторской математики.</w:t>
      </w:r>
    </w:p>
    <w:p>
      <w:pPr/>
      <w:r>
        <w:t>Предлагаемая особенность исследовательской программы — связать математическое представление данных с их происхождением, типом отношений и условиями допустимого вывода. Компактное описание должно оставаться проверяемым по полным основаниям. Это направление развития авторского метода; приоритет относительно всей научной литературы и независимая прогнозная эффективность в данном выпуске не устанавливаются.</w:t>
      </w:r>
    </w:p>
    <w:p>
      <w:pPr>
        <w:pStyle w:val="Heading1"/>
      </w:pPr>
      <w:r>
        <w:t>KASVD и пределы спектрального паспорта</w:t>
      </w:r>
    </w:p>
    <w:p>
      <w:pPr/>
      <w:r>
        <w:t>В отчёте R4-L, проверенном 4 октября, рассматривается сохранённый граф Канта: 55 узлов, 59 связей и десять независимых циклических координат. Сам снимок источника датирован 4 сентября. Поэтому результат недели — анализ уже имеющейся структуры, а не создание нового корпуса наблюдений. [1, §§3–8]</w:t>
      </w:r>
    </w:p>
    <w:p>
      <w:pPr/>
      <w:r>
        <w:t>Спектральный паспорт — компактный числовой признак выбранного матричного представления. Он помогает сопоставлять записи, но не содержит автоматически их цитат, смысла и доказательной истории. Наглядная аналогия — каталог библиотеки: удобный индекс помогает найти книгу, однако не заменяет её текст. Аналогия поясняет задачу хранения и не является математическим доказательством.</w:t>
      </w:r>
    </w:p>
    <w:p>
      <w:pPr/>
      <w:r>
        <w:t>Отчёт указывает на потерю информации при линейном кодировании десяти независимых координат одной матрицей 3×3. Размерностное пояснение требует общего поля скаляров: пространство таких матриц имеет размерность девять, и линейное отображение из десятимерного пространства в него не может быть инъективным. Этот аргумент относится к указанной линейной постановке; он не запрещает все возможные способы кодирования. Полный граф и основания поэтому следует хранить рядом с паспортом. [1]</w:t>
      </w:r>
    </w:p>
    <w:p>
      <w:r>
        <w:br w:type="page"/>
      </w:r>
    </w:p>
    <w:p>
      <w:pPr>
        <w:pStyle w:val="Heading1"/>
      </w:pPr>
      <w:r>
        <w:t>Почему одинаковые связи ещё нужно различать</w:t>
      </w:r>
    </w:p>
    <w:p>
      <w:pPr/>
      <w:r>
        <w:t>Контракт R4M от 5 октября рассматривает две связи с одинаковыми концами. Общие начальная и конечная записи ещё не делают отношения одинаковыми: связь может передавать иной тип утверждения, иную модальность или опираться на другой фрагмент текста. R4M разрешает частичное сопоставление с сохранением этих различий. Числовая разность отношений остаётся неопределённой. [2, §§3–7]</w:t>
      </w:r>
    </w:p>
    <w:p>
      <w:pPr/>
      <w:r>
        <w:t>Для читателя это можно пояснить условным примером: «возможно связано» и «установлено связано» относятся к тем же объектам, но имеют разную силу. Подмена одного другим изменила бы смысл вывода. Пример иллюстрирует роль модальности и не описывает новое наблюдение проекта.</w:t>
      </w:r>
    </w:p>
    <w:p>
      <w:pPr/>
      <w:r>
        <w:t>Содержательная поправка недели касается межпоколенного аспекта в источнике Канта. Локатор уточнён до AA VII:324:07–11 вместо приписывания диапазону AA VII:329:01–27. Историческая запись сохранена, а исправление добавлено отдельным слоем. Такой порядок позволяет видеть одновременно прежнее утверждение и основание его исправления. [2]</w:t>
      </w:r>
    </w:p>
    <w:p>
      <w:pPr/>
      <w:r>
        <w:t>По отчёту прошли 48 тестов контракта. Это свидетельство программной проверки предусмотренных сценариев. Ни одна из 11 групп блокеров не закрыта: тестирование правил само по себе не даёт недостающего содержательного основания. Предложенный этап R4M.1 — рецензия правил частичного переноса, затем измерительные карты при достаточном основании. [2, §§6–7]</w:t>
      </w:r>
    </w:p>
    <w:p>
      <w:pPr>
        <w:pStyle w:val="Heading1"/>
      </w:pPr>
      <w:r>
        <w:t>Атлас показывает границы выбранной кодировки</w:t>
      </w:r>
    </w:p>
    <w:p>
      <w:pPr/>
      <w:r>
        <w:t>Атлас от 4 октября сопоставляет 36 ранее зарегистрированных артефактов. Для выбранного статического кодировщика получены семь матриц и два спектра. Следовательно, несколько записей попадают в одинаковые числовые представления. Различные основания и доказательные стадии при этом могут сохраняться. [3, §§2–6]</w:t>
      </w:r>
    </w:p>
    <w:p>
      <w:pPr/>
      <w:r>
        <w:t>Это полезный результат для устройства базы: совпадение матрицы или спектра не разрешает автоматически объединять записи. Иначе база могла бы потерять различия, от которых зависит допустимость вывода. Спектральные признаки следует использовать вместе с полным описанием и происхождением записей.</w:t>
      </w:r>
    </w:p>
    <w:p>
      <w:pPr/>
      <w:r>
        <w:t>Числа 36, семь и два описывают анализ старого реестра в конкретной кодировке. Они не означают 36 новых открытий, 36 независимых наблюдений или универсальную классификацию любых данных. Вклад недели состоит в уточнении границ представления и требований к сохранению оснований.</w:t>
      </w:r>
    </w:p>
    <w:p>
      <w:r>
        <w:br w:type="page"/>
      </w:r>
    </w:p>
    <w:p>
      <w:pPr>
        <w:pStyle w:val="Heading1"/>
      </w:pPr>
      <w:r>
        <w:t>Восстановление баз и готовность автономных программ</w:t>
      </w:r>
    </w:p>
    <w:p>
      <w:pPr/>
      <w:r>
        <w:t>Контрольная точка IMPORT-01 от 5 октября фиксирует общее ядро проверки и восстановления резервных копий. Для веб-базы и автономной базы предусмотрены отдельные адаптеры. Практический смысл такого устройства — согласовать правила восстановления, учитывая различия хранилищ. Добавочный пакет сохраняет прежние программы и научные тексты. [4]</w:t>
      </w:r>
    </w:p>
    <w:p>
      <w:pPr/>
      <w:r>
        <w:t>В отчёте указаны 26 успешных новых тестов в эмуляторе. Интеграция ядра в действующие приложения и долговечность хранения на реальных устройствах остаются открытыми. Для пользователя существенна возможность восстановить собственные записи после обновления или сбоя; именно эту возможность ещё требуется проверить в реальной эксплуатации.</w:t>
      </w:r>
    </w:p>
    <w:p>
      <w:pPr/>
      <w:r>
        <w:t>Аудит от 8 октября уточняет состояние поиска сборок: архивный Android 1.05.5 и три Windows-файла 1.05.05 найдены. APK подписан исходным сертификатом; Windows-файлы не имеют встроенной подписи издателя. Это аудит сентябрьских сборок от 29 сентября, а не объявление нового выпуска. [5, §§1–2, 6]</w:t>
      </w:r>
    </w:p>
    <w:p>
      <w:pPr/>
      <w:r>
        <w:t>Принятый потребительский комплект ещё не выпущен. Установка, обновление и откат с сохранением баз не испытаны; Modern Update не является полным установщиком. Наличие файлов снимает вопрос об их полном отсутствии, но не закрывает приёмку автономных программ. [5]</w:t>
      </w:r>
    </w:p>
    <w:p>
      <w:pPr>
        <w:pStyle w:val="Heading1"/>
      </w:pPr>
      <w:r>
        <w:t>Как читать уровни подтверждения</w:t>
      </w:r>
    </w:p>
    <w:p>
      <w:pPr/>
      <w:r>
        <w:t>Математический уровень: размерностный аргумент ограничивает указанное линейное кодирование; анализ Атласа обнаруживает совпадения в конкретном кодировщике. Эти выводы имеют собственные условия и область применимости.</w:t>
      </w:r>
    </w:p>
    <w:p>
      <w:pPr/>
      <w:r>
        <w:t>Программный уровень: 48 тестов R4M и 26 тестов IMPORT-01 приведены по исходным отчётам. В рамках подготовки дайджеста они не исполнялись повторно. Суммирование этих чисел не даёт показателя научной достоверности или готовности потребительского выпуска.</w:t>
      </w:r>
    </w:p>
    <w:p>
      <w:pPr/>
      <w:r>
        <w:t>Научная оценка предсказаний: SCIENCE=ABSTAIN, EXT_RUN=NOT_RUN, truth_layer_promotion=0 сохраняются. ABSTAIN означает отсутствие достаточного основания для подтверждающего заключения. Независимая прогнозная эффективность не установлена. D/Dom требуют достаточного основания и области применимости; CGI не компенсирует их отсутствие. [2, §6; 4–7]</w:t>
      </w:r>
    </w:p>
    <w:p>
      <w:pPr/>
      <w:r>
        <w:t>Для будущей оценки нужны сопоставимый нулевой контроль (matched-null), заранее зафиксированный слепой прогноз и независимая проверка. Нулевой контроль позволяет сравнить результат с тем, что достигается без проверяемого механизма при сопоставимых условиях. Слепой прогноз отделяет предсказание от подгонки после получения ответа. [6–7]</w:t>
      </w:r>
    </w:p>
    <w:p>
      <w:r>
        <w:br w:type="page"/>
      </w:r>
    </w:p>
    <w:p>
      <w:pPr>
        <w:pStyle w:val="Heading1"/>
      </w:pPr>
      <w:r>
        <w:t>Следующие вопросы и материалы для проверки</w:t>
      </w:r>
    </w:p>
    <w:p>
      <w:pPr/>
      <w:r>
        <w:t>Следующий математический шаг — содержательная рецензия R4M.1. Для KASVD необходимо явно задать комплекс, метрику, типизацию, кодировщик и допустимую группу преобразований. Без этих данных нельзя автоматически переносить выводы между разными представлениями. Внедрение контура во все Analyzer, ARBD и KLT-MATDES не подтверждено. [1–2, 4]</w:t>
      </w:r>
    </w:p>
    <w:p>
      <w:pPr/>
      <w:r>
        <w:t>Следующий программный шаг — проверить интеграцию восстановления, хранение на устройствах и потребительские сценарии установки, обновления и отката. Научный шаг — подготовить независимую проверку при сохранении действующих ограничений. Ответственные за следующие проверки не указаны, сроки не установлены. Это открытые задачи, а не объявленные обязательства.</w:t>
      </w:r>
    </w:p>
    <w:p>
      <w:pPr/>
      <w:r>
        <w:t>Результат недели делает будущий вывод более прослеживаемым: компактные признаки сопровождаются полным графом, разнотипные отношения сохраняют смысл, исправления имеют собственный след, а восстановление данных выделено в проверяемый программный контур. Эти достижения укрепляют основу исследовательской программы; подтверждение прогнозов остаётся отдельной задачей.</w:t>
      </w:r>
    </w:p>
    <w:p>
      <w:pPr>
        <w:pStyle w:val="Heading1"/>
      </w:pPr>
      <w:r>
        <w:t>Источники и границы проверки</w:t>
      </w:r>
    </w:p>
    <w:p>
      <w:pPr/>
      <w:r>
        <w:t>Настоящая редакция основана на трёх PDF дайджеста v1.0 от 9 октября. Их фактический срез: 09.10.2026, 09:33 Europe/Kaliningrad. Сведения [1–7] переданы по этим PDF; первичные отчёты и мастер-обсуждения заново не проверялись. Общедоступность рабочих материалов не подтверждена. Новое утверждение канона или снятие заморозки не установлено.</w:t>
      </w:r>
    </w:p>
    <w:p>
      <w:pPr>
        <w:spacing w:after="60"/>
      </w:pPr>
      <w:r>
        <w:rPr>
          <w:sz w:val="18"/>
        </w:rPr>
        <w:t>[1] Курпишев И. Б. R4-L. Источниковый допуск полной сигнатуры реперного графа. v1.0, проверка 04.10.2026, §§3–11.</w:t>
      </w:r>
    </w:p>
    <w:p>
      <w:pPr>
        <w:spacing w:after="60"/>
      </w:pPr>
      <w:r>
        <w:rPr>
          <w:sz w:val="18"/>
        </w:rPr>
        <w:t>[2] Курпишев И. Б. R4-M. Контракт разнотипных связей. v1.0, 05.10.2026, §§1–7, с. 1–7.</w:t>
      </w:r>
    </w:p>
    <w:p>
      <w:pPr>
        <w:spacing w:after="60"/>
      </w:pPr>
      <w:r>
        <w:rPr>
          <w:sz w:val="18"/>
        </w:rPr>
        <w:t>[3] Курпишев И. Б. Атлас Артефактов Курпишева. Реестр 1–36, реперные графы и спектральная геометрия KASVD. v1.0, 04.10.2026, §§2–7.</w:t>
      </w:r>
    </w:p>
    <w:p>
      <w:pPr>
        <w:spacing w:after="60"/>
      </w:pPr>
      <w:r>
        <w:rPr>
          <w:sz w:val="18"/>
        </w:rPr>
        <w:t>[4] IMPORT-01. Общее ядро восстановления. v0.1, 05.10.2026. «Результат», «Проверки», «Следующая контрольная точка». Автор проекта и метода — И. Б. Курпишев.</w:t>
      </w:r>
    </w:p>
    <w:p>
      <w:pPr>
        <w:spacing w:after="60"/>
      </w:pPr>
      <w:r>
        <w:rPr>
          <w:sz w:val="18"/>
        </w:rPr>
        <w:t>[5] KLT6. Проверка выпуска. 08.10.2026, v1.0, §§1–2, 4–7. Аудит сборок от 29.09.2026.</w:t>
      </w:r>
    </w:p>
    <w:p>
      <w:pPr>
        <w:spacing w:after="60"/>
      </w:pPr>
      <w:r>
        <w:rPr>
          <w:sz w:val="18"/>
        </w:rPr>
        <w:t>[6] Курпишев И. Б. Unified Mathematical Program Analysis Kernel. R4-C, v1.0, 01.10.2026, §§2–3, 8, 11.</w:t>
      </w:r>
    </w:p>
    <w:p>
      <w:pPr>
        <w:spacing w:after="60"/>
      </w:pPr>
      <w:r>
        <w:rPr>
          <w:sz w:val="18"/>
        </w:rPr>
        <w:t>[7] Продолжение после RUN042. 27.09.2026. Абзацы о неизменных статусах, математической очереди и допустимом нулевом контроле.</w:t>
      </w:r>
    </w:p>
    <w:p>
      <w:pPr>
        <w:pStyle w:val="Heading1"/>
      </w:pPr>
      <w:r>
        <w:t>Исходные PDF для проверки</w:t>
      </w:r>
    </w:p>
    <w:p>
      <w:pPr>
        <w:spacing w:after="40"/>
      </w:pPr>
      <w:hyperlink r:id="rId9">
        <w:r>
          <w:rPr>
            <w:color w:val="245A81"/>
          </w:rPr>
          <w:t>RU  https://drive.google.com/file/d/1Du9YmDMftoM7Ag5vxadbHMZghLzKn_co/view</w:t>
        </w:r>
      </w:hyperlink>
    </w:p>
    <w:p>
      <w:pPr>
        <w:spacing w:after="40"/>
      </w:pPr>
      <w:hyperlink r:id="rId10">
        <w:r>
          <w:rPr>
            <w:color w:val="245A81"/>
          </w:rPr>
          <w:t>EN  https://drive.google.com/file/d/1jPrmBzDuuLoUTfJ_oMrOiwf1cAUn3s59/view</w:t>
        </w:r>
      </w:hyperlink>
    </w:p>
    <w:p>
      <w:pPr>
        <w:spacing w:after="40"/>
      </w:pPr>
      <w:hyperlink r:id="rId11">
        <w:r>
          <w:rPr>
            <w:color w:val="245A81"/>
          </w:rPr>
          <w:t>ZH  https://drive.google.com/file/d/1Ly9M2JJqC4hlv0ZYp79w0urezaHyZd-Q/view</w:t>
        </w:r>
      </w:hyperlink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6060"/>
        <w:sz w:val="16"/>
      </w:rPr>
      <w:t xml:space="preserve">LK2 • 2026-10-09 • v1.1 • RU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DejaVu Sans" w:hAnsi="DejaVu Sans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0"/>
      <w:outlineLvl w:val="0"/>
    </w:pPr>
    <w:rPr>
      <w:rFonts w:asciiTheme="majorHAnsi" w:eastAsiaTheme="majorEastAsia" w:hAnsiTheme="majorHAnsi" w:cstheme="majorBidi" w:ascii="DejaVu Sans" w:hAnsi="DejaVu Sans" w:eastAsia="Noto Sans CJK SC"/>
      <w:b/>
      <w:bCs/>
      <w:color w:val="245A8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 w:eastAsia="Noto Sans CJK S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 w:eastAsia="Noto Sans CJK SC"/>
      <w:i/>
      <w:iCs/>
      <w:color w:val="245A8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rive.google.com/file/d/1Du9YmDMftoM7Ag5vxadbHMZghLzKn_co/view" TargetMode="External"/><Relationship Id="rId10" Type="http://schemas.openxmlformats.org/officeDocument/2006/relationships/hyperlink" Target="https://drive.google.com/file/d/1jPrmBzDuuLoUTfJ_oMrOiwf1cAUn3s59/view" TargetMode="External"/><Relationship Id="rId11" Type="http://schemas.openxmlformats.org/officeDocument/2006/relationships/hyperlink" Target="https://drive.google.com/file/d/1Ly9M2JJqC4hlv0ZYp79w0urezaHyZd-Q/view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ЛОГИКА КУРПИШЕВА 2 Научно популярный дайджест за 2–9 октября 2026 года</dc:title>
  <dc:subject>LK2 digest 2026-10-09 v1.1 — author review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